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bidi w:val="1"/>
        <w:rPr/>
      </w:pPr>
      <w:bookmarkStart w:colFirst="0" w:colLast="0" w:name="_1k7w9dhzft6y" w:id="0"/>
      <w:bookmarkEnd w:id="0"/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הנהנין</w:t>
      </w:r>
    </w:p>
    <w:p w:rsidR="00000000" w:rsidDel="00000000" w:rsidP="00000000" w:rsidRDefault="00000000" w:rsidRPr="00000000" w14:paraId="00000002">
      <w:pPr>
        <w:pStyle w:val="Heading3"/>
        <w:bidi w:val="1"/>
        <w:rPr/>
      </w:pPr>
      <w:bookmarkStart w:colFirst="0" w:colLast="0" w:name="_17oksg8447zu" w:id="1"/>
      <w:bookmarkEnd w:id="1"/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הזכירו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בנימוקים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לנהוג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טעמים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u w:val="single"/>
          <w:rtl w:val="1"/>
        </w:rPr>
        <w:t xml:space="preserve">הערות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איש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מצליח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.), </w:t>
      </w:r>
      <w:r w:rsidDel="00000000" w:rsidR="00000000" w:rsidRPr="00000000">
        <w:rPr>
          <w:rtl w:val="1"/>
        </w:rPr>
        <w:t xml:space="preserve">ושבג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1"/>
        </w:rPr>
        <w:t xml:space="preserve">כף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החיים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קסז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פ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שועה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קסז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נח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חששות</w:t>
      </w:r>
      <w:r w:rsidDel="00000000" w:rsidR="00000000" w:rsidRPr="00000000">
        <w:rPr>
          <w:rtl w:val="1"/>
        </w:rPr>
        <w:t xml:space="preserve">" - </w:t>
      </w:r>
      <w:r w:rsidDel="00000000" w:rsidR="00000000" w:rsidRPr="00000000">
        <w:rPr>
          <w:rtl w:val="1"/>
        </w:rPr>
        <w:t xml:space="preserve">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כרמ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ראשונים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הנהנין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u w:val="single"/>
          <w:rtl w:val="1"/>
        </w:rPr>
        <w:t xml:space="preserve">מקור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חיים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פרק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עג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שבסעודה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u w:val="single"/>
          <w:rtl w:val="1"/>
        </w:rPr>
        <w:t xml:space="preserve">פסקי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תשובות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כג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לנהוג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A">
      <w:pPr>
        <w:pStyle w:val="Heading3"/>
        <w:bidi w:val="1"/>
        <w:rPr/>
      </w:pPr>
      <w:bookmarkStart w:colFirst="0" w:colLast="0" w:name="_u3qkiprntwcj" w:id="2"/>
      <w:bookmarkEnd w:id="2"/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הזכירו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לנהוג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מהגמ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u w:val="single"/>
          <w:rtl w:val="1"/>
        </w:rPr>
        <w:t xml:space="preserve">שועה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ר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מקפידים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לאכילה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ופטורים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ומשמע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יזום</w:t>
      </w:r>
      <w:r w:rsidDel="00000000" w:rsidR="00000000" w:rsidRPr="00000000">
        <w:rPr>
          <w:rtl w:val="1"/>
        </w:rPr>
        <w:t xml:space="preserve"> ("</w:t>
      </w:r>
      <w:r w:rsidDel="00000000" w:rsidR="00000000" w:rsidRPr="00000000">
        <w:rPr>
          <w:rtl w:val="1"/>
        </w:rPr>
        <w:t xml:space="preserve">הנהיגו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").</w:t>
        <w:br w:type="textWrapping"/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כשדיבר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u w:val="single"/>
          <w:rtl w:val="1"/>
        </w:rPr>
        <w:t xml:space="preserve">ח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כלל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סעיף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ולהוציא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מקפידים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u w:val="single"/>
          <w:rtl w:val="1"/>
        </w:rPr>
        <w:t xml:space="preserve">מ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ב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 </w:t>
        <w:br w:type="textWrapping"/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u w:val="single"/>
          <w:rtl w:val="1"/>
        </w:rPr>
        <w:t xml:space="preserve">וזאת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הברכה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סוף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ולהוציא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שבלחם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שו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יג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bidi w:val="1"/>
        <w:rPr/>
      </w:pPr>
      <w:bookmarkStart w:colFirst="0" w:colLast="0" w:name="_cvaa52t30p46" w:id="3"/>
      <w:bookmarkEnd w:id="3"/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הזכירו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בהלכה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u w:val="single"/>
          <w:rtl w:val="1"/>
        </w:rPr>
        <w:t xml:space="preserve">ערוה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יטלו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מחכים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וב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חבירו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."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חבירו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וב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יתעטפו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לעצמו</w:t>
      </w:r>
      <w:r w:rsidDel="00000000" w:rsidR="00000000" w:rsidRPr="00000000">
        <w:rPr>
          <w:rtl w:val="1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bidi w:val="1"/>
        <w:rPr/>
      </w:pPr>
      <w:bookmarkStart w:colFirst="0" w:colLast="0" w:name="_kojwl92d517" w:id="4"/>
      <w:bookmarkEnd w:id="4"/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הזכירו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והכריעו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והאריכו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להוכיח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הנזכר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קהילתם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ינהגו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נשמע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u w:val="single"/>
          <w:rtl w:val="1"/>
        </w:rPr>
        <w:t xml:space="preserve">הלכה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ברורה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טז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יזהרו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ולהוציא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בירור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המהרשד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קסז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יזהרו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ולהוציא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</w:t>
      </w:r>
      <w:r w:rsidDel="00000000" w:rsidR="00000000" w:rsidRPr="00000000">
        <w:rPr>
          <w:b w:val="1"/>
          <w:rtl w:val="1"/>
        </w:rPr>
        <w:t xml:space="preserve">שער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ריג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ויזהרו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</w:t>
      </w:r>
      <w:r w:rsidDel="00000000" w:rsidR="00000000" w:rsidRPr="00000000">
        <w:rPr>
          <w:b w:val="1"/>
          <w:rtl w:val="1"/>
        </w:rPr>
        <w:t xml:space="preserve">בירור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ונימוקו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u w:val="single"/>
          <w:rtl w:val="1"/>
        </w:rPr>
        <w:t xml:space="preserve">שו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מלמד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להועיל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אשכנז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הפוך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באשכנז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הדרומית</w:t>
      </w:r>
      <w:r w:rsidDel="00000000" w:rsidR="00000000" w:rsidRPr="00000000">
        <w:rPr>
          <w:rtl w:val="1"/>
        </w:rPr>
        <w:t xml:space="preserve"> = </w:t>
      </w:r>
      <w:r w:rsidDel="00000000" w:rsidR="00000000" w:rsidRPr="00000000">
        <w:rPr>
          <w:rtl w:val="1"/>
        </w:rPr>
        <w:t xml:space="preserve">צרפת</w:t>
      </w:r>
      <w:r w:rsidDel="00000000" w:rsidR="00000000" w:rsidRPr="00000000">
        <w:rPr>
          <w:rtl w:val="1"/>
        </w:rPr>
        <w:t xml:space="preserve">?). </w:t>
      </w:r>
      <w:r w:rsidDel="00000000" w:rsidR="00000000" w:rsidRPr="00000000">
        <w:rPr>
          <w:rtl w:val="1"/>
        </w:rPr>
        <w:t xml:space="preserve">והפנה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לשועה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לימוד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ידברו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שעדיף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u w:val="single"/>
          <w:rtl w:val="1"/>
        </w:rPr>
        <w:t xml:space="preserve">שו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המבי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ט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בתשובה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קיז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ובתשובה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קפ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להוכיח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u w:val="single"/>
          <w:rtl w:val="1"/>
        </w:rPr>
        <w:t xml:space="preserve">שו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מהרשד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בחריפות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מצווה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נשמע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20">
      <w:pPr>
        <w:pStyle w:val="Heading3"/>
        <w:bidi w:val="1"/>
        <w:rPr/>
      </w:pPr>
      <w:bookmarkStart w:colFirst="0" w:colLast="0" w:name="_ttgm9wdgdq0l" w:id="5"/>
      <w:bookmarkEnd w:id="5"/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חבירו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חלקם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שהביאו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u w:val="single"/>
          <w:rtl w:val="1"/>
        </w:rPr>
        <w:t xml:space="preserve">חתם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סופר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u w:val="single"/>
          <w:rtl w:val="1"/>
        </w:rPr>
        <w:t xml:space="preserve">ט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u w:val="single"/>
          <w:rtl w:val="1"/>
        </w:rPr>
        <w:t xml:space="preserve">באר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היטב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 </w:t>
        <w:br w:type="textWrapping"/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u w:val="single"/>
          <w:rtl w:val="1"/>
        </w:rPr>
        <w:t xml:space="preserve">באהלי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u w:val="single"/>
          <w:rtl w:val="1"/>
        </w:rPr>
        <w:t xml:space="preserve">א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ר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 </w:t>
        <w:br w:type="textWrapping"/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u w:val="single"/>
          <w:rtl w:val="1"/>
        </w:rPr>
        <w:t xml:space="preserve">דגול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מרבבה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u w:val="single"/>
          <w:rtl w:val="1"/>
        </w:rPr>
        <w:t xml:space="preserve">מג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באשכנז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u w:val="single"/>
          <w:rtl w:val="1"/>
        </w:rPr>
        <w:t xml:space="preserve">שערי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תשובה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להתעטף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u w:val="single"/>
          <w:rtl w:val="1"/>
        </w:rPr>
        <w:t xml:space="preserve">אשל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אברהם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u w:val="single"/>
          <w:rtl w:val="1"/>
        </w:rPr>
        <w:t xml:space="preserve">הגהות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רעק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פירוש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ברוב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u w:val="single"/>
          <w:rtl w:val="1"/>
        </w:rPr>
        <w:t xml:space="preserve">באר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הגולה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קס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1"/>
        </w:rPr>
        <w:t xml:space="preserve">זרע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אברהם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.??</w:t>
      </w:r>
    </w:p>
    <w:p w:rsidR="00000000" w:rsidDel="00000000" w:rsidP="00000000" w:rsidRDefault="00000000" w:rsidRPr="00000000" w14:paraId="0000003B">
      <w:pPr>
        <w:pStyle w:val="Heading3"/>
        <w:bidi w:val="1"/>
        <w:rPr/>
      </w:pPr>
      <w:bookmarkStart w:colFirst="0" w:colLast="0" w:name="_f4218rsg1p1u" w:id="6"/>
      <w:bookmarkEnd w:id="6"/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u w:val="single"/>
          <w:rtl w:val="1"/>
        </w:rPr>
        <w:t xml:space="preserve">תבואות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שור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הנהנין</w:t>
      </w:r>
      <w:r w:rsidDel="00000000" w:rsidR="00000000" w:rsidRPr="00000000">
        <w:rPr>
          <w:rtl w:val="1"/>
        </w:rPr>
        <w:t xml:space="preserve">.??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u w:val="single"/>
          <w:rtl w:val="1"/>
        </w:rPr>
        <w:t xml:space="preserve">עטרת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זקנים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u w:val="single"/>
          <w:rtl w:val="1"/>
        </w:rPr>
        <w:t xml:space="preserve">הגר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בפשטות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רי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u w:val="single"/>
          <w:rtl w:val="1"/>
        </w:rPr>
        <w:t xml:space="preserve">שו</w:t>
      </w:r>
      <w:r w:rsidDel="00000000" w:rsidR="00000000" w:rsidRPr="00000000">
        <w:rPr>
          <w:u w:val="single"/>
          <w:rtl w:val="1"/>
        </w:rPr>
        <w:t xml:space="preserve">"</w:t>
      </w:r>
      <w:r w:rsidDel="00000000" w:rsidR="00000000" w:rsidRPr="00000000">
        <w:rPr>
          <w:u w:val="single"/>
          <w:rtl w:val="1"/>
        </w:rPr>
        <w:t xml:space="preserve">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פעולת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צדיק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חלק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סימן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רלב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1"/>
        </w:rPr>
        <w:t xml:space="preserve">שטוב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המנהג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